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ACE1" w14:textId="78F34AE5" w:rsidR="00077168" w:rsidRPr="00724CC4" w:rsidRDefault="0007716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9B1CA7"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EE138" w14:textId="77777777" w:rsidR="00077168" w:rsidRPr="00724CC4" w:rsidRDefault="0007716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7A48"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рішенням Вченої ради</w:t>
      </w:r>
    </w:p>
    <w:p w14:paraId="7A6304FF" w14:textId="1342F8D8" w:rsidR="00077168" w:rsidRPr="00724CC4" w:rsidRDefault="0007716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F87A48"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C39AF4" w14:textId="1E2DF273" w:rsidR="00077168" w:rsidRPr="00724CC4" w:rsidRDefault="00F87A4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077168"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НАН України </w:t>
      </w:r>
    </w:p>
    <w:p w14:paraId="421C6745" w14:textId="793783F9" w:rsidR="00077168" w:rsidRPr="00724CC4" w:rsidRDefault="0007716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6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585282" w:rsidRPr="00896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21 </w:t>
      </w:r>
      <w:r w:rsidR="00724CC4" w:rsidRPr="00896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лютого</w:t>
      </w:r>
      <w:r w:rsidRPr="008968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року, протокол №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2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B299BB" w14:textId="288D3DA9" w:rsidR="00077168" w:rsidRPr="00724CC4" w:rsidRDefault="00077168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B1CA7" w:rsidRPr="00724CC4">
        <w:rPr>
          <w:rFonts w:ascii="Times New Roman" w:hAnsi="Times New Roman" w:cs="Times New Roman"/>
          <w:sz w:val="28"/>
          <w:szCs w:val="28"/>
          <w:lang w:val="uk-UA"/>
        </w:rPr>
        <w:t>академік  НАН України</w:t>
      </w:r>
    </w:p>
    <w:p w14:paraId="4D8349A5" w14:textId="14FEF359" w:rsidR="009B1CA7" w:rsidRPr="00724CC4" w:rsidRDefault="009B1CA7" w:rsidP="00724C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Володимир НАЗАРЕНКО</w:t>
      </w:r>
    </w:p>
    <w:p w14:paraId="1CC088B5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493F34" w14:textId="77777777" w:rsidR="00077168" w:rsidRPr="00724CC4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 ПРИЙОМУ</w:t>
      </w:r>
    </w:p>
    <w:p w14:paraId="35A78967" w14:textId="66809D67" w:rsidR="00077168" w:rsidRPr="00724CC4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до аспірантури для здобуття наукового ступеня доктора філософії </w:t>
      </w:r>
    </w:p>
    <w:p w14:paraId="774F167F" w14:textId="77777777" w:rsidR="00077168" w:rsidRPr="00724CC4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за спеціальністю «Прикладна математика»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301EFD6D" w14:textId="17F3966F" w:rsidR="00077168" w:rsidRPr="00724CC4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Інституті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в 20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14:paraId="2FECF8AB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0C8932" w14:textId="2E3947B4" w:rsidR="00077168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48F80B2C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1. Провадження освітньої діяльності у Інституті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(далі – Інституті) здійснюється відповідно до наказу МОН України про ліцензування освітньої діяльності на третьому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>-науковому рівні № 139-л від 21.02.2018 року.</w:t>
      </w:r>
    </w:p>
    <w:p w14:paraId="6ED15FD0" w14:textId="06D447C4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2. Правила прийому розроблені відповідно до Умов прийому до вищих навчальних закладів України у 20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році, затверджених наказом  Міністерства освіти і науки України від 13 жовтня 20</w:t>
      </w:r>
      <w:r w:rsidR="009D04C9" w:rsidRPr="00724CC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року № 1</w:t>
      </w:r>
      <w:r w:rsidR="009D04C9" w:rsidRPr="00724CC4">
        <w:rPr>
          <w:rFonts w:ascii="Times New Roman" w:hAnsi="Times New Roman" w:cs="Times New Roman"/>
          <w:sz w:val="28"/>
          <w:szCs w:val="28"/>
          <w:lang w:val="uk-UA"/>
        </w:rPr>
        <w:t>098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59DAE" w14:textId="67B20AB1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3. Інститут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проводить прийом до аспірантури на денне очне та заочне</w:t>
      </w:r>
      <w:r w:rsidRPr="00724CC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навчання для здобуття ступеня доктора філософії у галузі знань  11 «Математика та статистика» за спеціальністю 113 «Прикладна математика»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відповідно до ліцензії у межах ліцензованого обсягу.</w:t>
      </w:r>
    </w:p>
    <w:p w14:paraId="7C8F046F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Організацію прийому вступників до аспірантури 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здійснює Приймальна комісія, склад якої затверджує директор 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України, який є її головою.</w:t>
      </w:r>
    </w:p>
    <w:p w14:paraId="15AA09A4" w14:textId="2BB8917B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Директор 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забезпечує дотримання законодавства України, у тому числі Умов прийому до вищих навчальних закладів України у 20</w:t>
      </w:r>
      <w:r w:rsidR="007A32F7" w:rsidRPr="00724CC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році та цих Правил прийому.</w:t>
      </w:r>
    </w:p>
    <w:p w14:paraId="3740A109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6. Усі питання, пов’язані зі вступом до аспірантури Інституту, вирішуються Приймальною комісією на її засіданнях. Рішення Приймальної комісії оприлюднюються на офіційному веб-сайті інституту.</w:t>
      </w:r>
    </w:p>
    <w:p w14:paraId="456EA28C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7. Рішення Приймальної комісії, прийняте у межах її повноважень, є підставою для видання відповідного наказу директором Інституту.</w:t>
      </w:r>
    </w:p>
    <w:p w14:paraId="405EAB4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8. Прийом в аспірантуру 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здійснюється на конкурсній основі незалежно від джерел фінансування навчання.</w:t>
      </w:r>
    </w:p>
    <w:p w14:paraId="0ADCA0A7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9. Забороняється одночасне навчання в аспірантурі на денній формі навчання за кількома спеціальностями (спеціалізаціями, освітніми програмами).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BD772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10. До аспірантури Інституту приймаються громадяни України, іноземці, а також особи без громадянства, які проживають (перебувають) на території України на законних підставах, мають ступінь магістра або освітньо-кваліфікаційний рівень спеціаліста та виявили бажання здобути ступінь доктора філософії. </w:t>
      </w:r>
    </w:p>
    <w:p w14:paraId="5A5513C5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24CC4">
        <w:rPr>
          <w:rFonts w:ascii="Times New Roman" w:hAnsi="Times New Roman" w:cs="Times New Roman"/>
          <w:sz w:val="28"/>
          <w:szCs w:val="28"/>
        </w:rPr>
        <w:t xml:space="preserve">. Особа, яка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диплом,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виданий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іноземним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закладом,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нарівні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особами.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диплома.</w:t>
      </w:r>
    </w:p>
    <w:p w14:paraId="0CE440DD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:</w:t>
      </w:r>
    </w:p>
    <w:p w14:paraId="2B991F06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державного бюджету (за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замовленням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C48009F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</w:rPr>
        <w:t xml:space="preserve">-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контракту,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).</w:t>
      </w:r>
    </w:p>
    <w:p w14:paraId="614CACA0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замовленням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очною формою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.</w:t>
      </w:r>
      <w:r w:rsidRPr="00724CC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14:paraId="5587604C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724CC4">
        <w:rPr>
          <w:rFonts w:ascii="Times New Roman" w:hAnsi="Times New Roman" w:cs="Times New Roman"/>
          <w:sz w:val="28"/>
          <w:szCs w:val="28"/>
        </w:rPr>
        <w:t xml:space="preserve">. Особа, яка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замовленням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захистила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відрахована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замовленням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витрачених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порядку. </w:t>
      </w:r>
    </w:p>
    <w:p w14:paraId="45862C36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Іноземці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та особи без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Інституті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договорами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обов’язковість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Верховною Радою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угодами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Інститутом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та установами інших країн, щодо обміну вченими чи академічної мобільності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14:paraId="475ADCF9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становить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чотир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>и роки.</w:t>
      </w:r>
    </w:p>
    <w:p w14:paraId="03DC0FA2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Вступникам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.</w:t>
      </w:r>
    </w:p>
    <w:p w14:paraId="2C505ECB" w14:textId="77777777" w:rsidR="00077168" w:rsidRPr="00724CC4" w:rsidRDefault="00077168" w:rsidP="00724C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4CC4">
        <w:rPr>
          <w:sz w:val="28"/>
          <w:szCs w:val="28"/>
          <w:lang w:val="uk-UA"/>
        </w:rPr>
        <w:t>18.</w:t>
      </w:r>
      <w:r w:rsidRPr="00724CC4">
        <w:rPr>
          <w:color w:val="000000"/>
          <w:sz w:val="28"/>
          <w:szCs w:val="28"/>
        </w:rPr>
        <w:t xml:space="preserve"> </w:t>
      </w:r>
      <w:r w:rsidRPr="00724CC4">
        <w:rPr>
          <w:color w:val="000000"/>
          <w:sz w:val="28"/>
          <w:szCs w:val="28"/>
          <w:lang w:val="uk-UA"/>
        </w:rPr>
        <w:t>А</w:t>
      </w:r>
      <w:proofErr w:type="spellStart"/>
      <w:r w:rsidRPr="00724CC4">
        <w:rPr>
          <w:color w:val="000000"/>
          <w:sz w:val="28"/>
          <w:szCs w:val="28"/>
        </w:rPr>
        <w:t>спіранти</w:t>
      </w:r>
      <w:proofErr w:type="spellEnd"/>
      <w:r w:rsidRPr="00724CC4">
        <w:rPr>
          <w:color w:val="000000"/>
          <w:sz w:val="28"/>
          <w:szCs w:val="28"/>
        </w:rPr>
        <w:t xml:space="preserve"> </w:t>
      </w:r>
      <w:proofErr w:type="spellStart"/>
      <w:r w:rsidRPr="00724CC4">
        <w:rPr>
          <w:color w:val="000000"/>
          <w:sz w:val="28"/>
          <w:szCs w:val="28"/>
        </w:rPr>
        <w:t>денної</w:t>
      </w:r>
      <w:proofErr w:type="spellEnd"/>
      <w:r w:rsidRPr="00724CC4">
        <w:rPr>
          <w:color w:val="000000"/>
          <w:sz w:val="28"/>
          <w:szCs w:val="28"/>
        </w:rPr>
        <w:t xml:space="preserve"> </w:t>
      </w:r>
      <w:proofErr w:type="spellStart"/>
      <w:r w:rsidRPr="00724CC4">
        <w:rPr>
          <w:color w:val="000000"/>
          <w:sz w:val="28"/>
          <w:szCs w:val="28"/>
        </w:rPr>
        <w:t>форми</w:t>
      </w:r>
      <w:proofErr w:type="spellEnd"/>
      <w:r w:rsidRPr="00724CC4">
        <w:rPr>
          <w:color w:val="000000"/>
          <w:sz w:val="28"/>
          <w:szCs w:val="28"/>
        </w:rPr>
        <w:t xml:space="preserve"> </w:t>
      </w:r>
      <w:proofErr w:type="spellStart"/>
      <w:r w:rsidRPr="00724CC4">
        <w:rPr>
          <w:color w:val="000000"/>
          <w:sz w:val="28"/>
          <w:szCs w:val="28"/>
        </w:rPr>
        <w:t>навчання</w:t>
      </w:r>
      <w:proofErr w:type="spellEnd"/>
      <w:r w:rsidRPr="00724CC4">
        <w:rPr>
          <w:color w:val="000000"/>
          <w:sz w:val="28"/>
          <w:szCs w:val="28"/>
        </w:rPr>
        <w:t>:</w:t>
      </w:r>
    </w:p>
    <w:p w14:paraId="22515A47" w14:textId="77777777" w:rsidR="00077168" w:rsidRPr="00724CC4" w:rsidRDefault="00077168" w:rsidP="0072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отримують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стипендію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замовленням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01290A" w14:textId="77777777" w:rsidR="00077168" w:rsidRPr="00724CC4" w:rsidRDefault="00077168" w:rsidP="0072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іногородні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реєстрації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забезпечуються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гуртожитком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несімейних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9036E8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9726B1" w14:textId="7E355FC6" w:rsidR="00077168" w:rsidRDefault="00077168" w:rsidP="00724C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Терміни прийому заяв і документів, вступних випробувань та зарахування на навчання</w:t>
      </w:r>
    </w:p>
    <w:p w14:paraId="39B427EC" w14:textId="57669DD4" w:rsidR="00077168" w:rsidRPr="00A732FB" w:rsidRDefault="00077168" w:rsidP="00A732F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2FB"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роботи Приймальної комісії: щодня, крім суботи та неділі, з 9:00 до 17:00. </w:t>
      </w:r>
    </w:p>
    <w:p w14:paraId="244DCAB7" w14:textId="61CEEBC7" w:rsidR="00A732FB" w:rsidRDefault="00A732FB" w:rsidP="00A73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8291A" w14:textId="77777777" w:rsidR="0089688E" w:rsidRDefault="0089688E" w:rsidP="00A73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772C4" w14:textId="77777777" w:rsidR="00A732FB" w:rsidRPr="00A732FB" w:rsidRDefault="00A732FB" w:rsidP="00A73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6C577C" w14:textId="0E395767" w:rsidR="00077168" w:rsidRPr="0089688E" w:rsidRDefault="00077168" w:rsidP="0089688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Етапи</w:t>
      </w:r>
      <w:proofErr w:type="spellEnd"/>
      <w:r w:rsidRPr="0089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вступної</w:t>
      </w:r>
      <w:proofErr w:type="spellEnd"/>
      <w:r w:rsidRPr="0089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6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кампанії</w:t>
      </w:r>
      <w:proofErr w:type="spellEnd"/>
    </w:p>
    <w:p w14:paraId="4DFD6C87" w14:textId="77777777" w:rsidR="00A732FB" w:rsidRPr="0089688E" w:rsidRDefault="00A732FB" w:rsidP="0089688E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86"/>
        <w:gridCol w:w="2763"/>
      </w:tblGrid>
      <w:tr w:rsidR="00077168" w:rsidRPr="00724CC4" w14:paraId="4B58A276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50638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C4179" w14:textId="77E978EE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217E78"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1</w:t>
            </w:r>
            <w:r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трав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20</w:t>
            </w:r>
            <w:r w:rsidR="00217E78"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23</w:t>
            </w:r>
            <w:r w:rsidRPr="00724C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р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077168" w:rsidRPr="00724CC4" w14:paraId="2FE001BE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D6B1A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прийому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27CF0" w14:textId="0773C6C8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7 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вересня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</w:t>
            </w:r>
            <w:r w:rsidR="00235C81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077168" w:rsidRPr="00724CC4" w14:paraId="6956F1FB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FA7EC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Строки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іспитів</w:t>
            </w:r>
            <w:proofErr w:type="spellEnd"/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9D0AA" w14:textId="6BDAC234" w:rsidR="00077168" w:rsidRPr="00724CC4" w:rsidRDefault="00235C81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вересня</w:t>
            </w:r>
            <w:r w:rsidR="001853C1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2023</w:t>
            </w:r>
          </w:p>
        </w:tc>
      </w:tr>
      <w:tr w:rsidR="00077168" w:rsidRPr="00724CC4" w14:paraId="03065C86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1D6C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зарахування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вступників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державного бюджету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BA003" w14:textId="6F89FC33" w:rsidR="00077168" w:rsidRPr="00724CC4" w:rsidRDefault="00570CF6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вересня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077168" w:rsidRPr="00724CC4" w14:paraId="0848C6D9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83475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зарахування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вступників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кошти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рахунок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цільових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кредитів</w:t>
            </w:r>
            <w:proofErr w:type="spellEnd"/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133B1" w14:textId="69661573" w:rsidR="00077168" w:rsidRPr="00724CC4" w:rsidRDefault="00570CF6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28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вересня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р.</w:t>
            </w:r>
          </w:p>
        </w:tc>
      </w:tr>
      <w:tr w:rsidR="00077168" w:rsidRPr="00724CC4" w14:paraId="195ED810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1397D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аспірантурі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75544" w14:textId="3CBD1CD3" w:rsidR="00077168" w:rsidRPr="00724CC4" w:rsidRDefault="00570CF6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листопада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р.</w:t>
            </w:r>
          </w:p>
        </w:tc>
      </w:tr>
      <w:tr w:rsidR="00077168" w:rsidRPr="00724CC4" w14:paraId="4B1BF898" w14:textId="77777777" w:rsidTr="000A0CE9">
        <w:trPr>
          <w:tblCellSpacing w:w="0" w:type="dxa"/>
          <w:jc w:val="center"/>
        </w:trPr>
        <w:tc>
          <w:tcPr>
            <w:tcW w:w="6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3A6CA" w14:textId="77777777" w:rsidR="00077168" w:rsidRPr="00724CC4" w:rsidRDefault="00077168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аспірантурі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29070" w14:textId="5F5F5448" w:rsidR="00077168" w:rsidRPr="00724CC4" w:rsidRDefault="00570CF6" w:rsidP="00724C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листопада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23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р.</w:t>
            </w:r>
            <w:r w:rsidR="00077168"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BF4BDDD" w14:textId="77777777" w:rsidR="00A732FB" w:rsidRDefault="00A732FB" w:rsidP="00724C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CCC3E" w14:textId="7E0409B1" w:rsidR="00077168" w:rsidRPr="00724CC4" w:rsidRDefault="00077168" w:rsidP="00A732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Порядок прийому заяв і документів</w:t>
      </w:r>
    </w:p>
    <w:p w14:paraId="6AD42503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Вступники до аспірантури подають такі документи:</w:t>
      </w:r>
    </w:p>
    <w:p w14:paraId="679CD0A9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• заяву на ім’я директора Інституту механіки ім.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С.П.Тимошенка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України;</w:t>
      </w:r>
    </w:p>
    <w:p w14:paraId="05FDC4E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особовий листок з обліку кадрів, засвідчений печаткою тієї установи, в якій вступник до аспірантури навчається або працює;</w:t>
      </w:r>
    </w:p>
    <w:p w14:paraId="7376AB46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2 фотокартки 3x4 см;</w:t>
      </w:r>
    </w:p>
    <w:p w14:paraId="2A959DD5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документ, що посвідчує особу і громадянство;</w:t>
      </w:r>
    </w:p>
    <w:p w14:paraId="48D4C287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документ про зміну прізвища (у разі зміни вступником прізвища);</w:t>
      </w:r>
    </w:p>
    <w:p w14:paraId="2537A03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• військовий квіток або посвідчення про приписку (для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військовозобов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</w:p>
    <w:p w14:paraId="620947E6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список опублікованих наукових праць і винаходів за спеціальністю (за наявності);</w:t>
      </w:r>
    </w:p>
    <w:p w14:paraId="1918231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дослідницьку пропозицію (реферат) з обраної спеціальності;</w:t>
      </w:r>
    </w:p>
    <w:p w14:paraId="4E05F4DA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медичну довідку про стан здоров’я за формою № 086/о;</w:t>
      </w:r>
    </w:p>
    <w:p w14:paraId="558F397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диплом про закінчення вищого навчального закладу і додаток до нього</w:t>
      </w:r>
      <w:r w:rsidRPr="00724CC4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14:paraId="729B939E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Особам, які здобули вищу освіту за кордоном, встановлюється еквівалентність поданого диплома відповідно до «Порядку визнання здобутих в іноземних вищих навчальних закладах ступенів вищої освіти», затвердженого наказом МОН України № 504 від 05.05.2015 року;</w:t>
      </w:r>
    </w:p>
    <w:p w14:paraId="557AFFFF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рекомендацію Вченої ради вищого навчального закладу (за наявності);</w:t>
      </w:r>
    </w:p>
    <w:p w14:paraId="6ABBAD2E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довідки про присвоєння ідентифікаційного номера (для осіб, які вступають до аспірантури на денну форму навчання);</w:t>
      </w:r>
    </w:p>
    <w:p w14:paraId="3CEFABDB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довідку з постійного місця реєстрації (для осіб, які мають намір проживати в гуртожитку);</w:t>
      </w:r>
    </w:p>
    <w:p w14:paraId="51A0CAD9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міжнародний сертифікат з іноземної мови (за наявності);</w:t>
      </w:r>
    </w:p>
    <w:p w14:paraId="2092BBF4" w14:textId="378DB54B" w:rsidR="00077168" w:rsidRDefault="00077168" w:rsidP="00724C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персональних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70D8D5" w14:textId="77777777" w:rsidR="0089688E" w:rsidRPr="00724CC4" w:rsidRDefault="0089688E" w:rsidP="00724C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1A914" w14:textId="77777777" w:rsidR="00A732FB" w:rsidRDefault="00077168" w:rsidP="00896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Копії документів без </w:t>
      </w:r>
      <w:proofErr w:type="spellStart"/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пред</w:t>
      </w:r>
      <w:proofErr w:type="spellEnd"/>
      <w:r w:rsidRPr="00724CC4">
        <w:rPr>
          <w:rFonts w:ascii="Times New Roman" w:hAnsi="Times New Roman" w:cs="Times New Roman"/>
          <w:b/>
          <w:sz w:val="28"/>
          <w:szCs w:val="28"/>
        </w:rPr>
        <w:t>’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явлення оригіналів не приймаються</w:t>
      </w:r>
    </w:p>
    <w:p w14:paraId="2D8DA230" w14:textId="4C2DEE3B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Вступники до аспірантури можуть подавати документи для вступу до аспірантури не більше, ніж на дві спеціальності.</w:t>
      </w:r>
      <w:r w:rsidR="00A73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У тому випадку, коли вступник до аспірантури рекомендується до вступу в аспірантуру за результатами конкурсу одразу за двома спеціальностями, освоювати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>-наукову програму підготовки доктора філософії в аспірантурі за рахунок державного бюджету він може лише за однією спеціальністю, за іншою - на умовах контракту.</w:t>
      </w:r>
    </w:p>
    <w:p w14:paraId="2D93CEE0" w14:textId="77777777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Приймальна комісія інституту допускає вступників до вступних випробувань на підставі поданих документів і може відмовити вступнику в допуску до вступних випробувань в аспірантуру у зв’язку з неподанням у встановлений термін документів, визначених Правилами прийому.</w:t>
      </w:r>
    </w:p>
    <w:p w14:paraId="1A742D23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Дослідницька пропозиція (реферат) - це науковий текст, підготовлений вступником до аспірантури, в якому обґрунтовується тематика майбутнього дисертаційного дослідження, його актуальність, стан розробки у вітчизняній та зарубіжній науці; можливі шляхи розв’язання поставлених задач тощо.</w:t>
      </w:r>
    </w:p>
    <w:p w14:paraId="75F44F4F" w14:textId="77777777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Вимоги до дослідницьких пропозицій формуються Інститутом відповідно до особливостей спеціальності.</w:t>
      </w:r>
      <w:r w:rsidR="00782B21"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Оцінювання дослідницької пропозиції (з можливою презентацією її за рішенням Приймальної комісії інституту) відбувається на вступному іспиті зі спеціальності як його складова.</w:t>
      </w:r>
    </w:p>
    <w:p w14:paraId="3893815C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Трудова книжка (за наявності) із записом про звільнення з останнього місця роботи у зв’язку зі вступом до аспірантури на денну форму навчання та довідка про середньомісячну заробітну плату з останнього місця роботи (за підписами керівника установи та головного бухгалтера) для нарахування стипендії подаються аспірантом особисто у десятиденний термін після зарахування до аспірантури.</w:t>
      </w:r>
    </w:p>
    <w:p w14:paraId="0DD68369" w14:textId="77777777" w:rsidR="00782B21" w:rsidRPr="00724CC4" w:rsidRDefault="00782B21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C1694" w14:textId="77777777" w:rsidR="00077168" w:rsidRPr="00724CC4" w:rsidRDefault="00077168" w:rsidP="00A73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вступних іспитів та конкурсний відбір</w:t>
      </w:r>
    </w:p>
    <w:p w14:paraId="287B17E4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Вступники до аспірантури складають вступні іспити:</w:t>
      </w:r>
    </w:p>
    <w:p w14:paraId="15503D8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зі спеціальності (в обсязі стандарту вищої освіти магістра з відповідної спеціальності);</w:t>
      </w:r>
    </w:p>
    <w:p w14:paraId="42542FC4" w14:textId="3EFA2FB9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з іноземної мови за програмою, яка відповідає рівню </w:t>
      </w:r>
      <w:r w:rsidRPr="00724CC4">
        <w:rPr>
          <w:rFonts w:ascii="Times New Roman" w:hAnsi="Times New Roman" w:cs="Times New Roman"/>
          <w:sz w:val="28"/>
          <w:szCs w:val="28"/>
        </w:rPr>
        <w:t>B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2 Загальноєвропейсь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ких рекомендацій з </w:t>
      </w:r>
      <w:proofErr w:type="spellStart"/>
      <w:r w:rsidRPr="00724CC4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</w:p>
    <w:p w14:paraId="32B94AFF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Вступникам, які вступають до аспірантури з іншої галузі знань (спеціальності), ніж та, яка зазначена в їх дипломі магістра (спеціаліста), за рішенням Приймальної комісії можуть бути призначені додаткові вступні випробування, які передують вступним іспитам з іноземної мови та спеціальності.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двобальною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шкалою: «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». У тому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коли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додаткове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зараховано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позбавляється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>.</w:t>
      </w:r>
    </w:p>
    <w:p w14:paraId="627D3027" w14:textId="77777777" w:rsidR="00724CC4" w:rsidRPr="00724CC4" w:rsidRDefault="00077168" w:rsidP="00724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Вступний іспит з іноземної мови, як кваліфікаційний іспит, оцінюється за двобальною шкалою: «склав» / «не склав».</w:t>
      </w:r>
    </w:p>
    <w:p w14:paraId="097ED57B" w14:textId="77AD29B9" w:rsidR="00077168" w:rsidRPr="00724CC4" w:rsidRDefault="00077168" w:rsidP="00724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цьому:</w:t>
      </w:r>
    </w:p>
    <w:p w14:paraId="61D0960A" w14:textId="77777777" w:rsidR="00077168" w:rsidRPr="00724CC4" w:rsidRDefault="00077168" w:rsidP="00724CC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проміжного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100-бальна шкала;</w:t>
      </w:r>
    </w:p>
    <w:p w14:paraId="1A18ECFB" w14:textId="77777777" w:rsidR="00077168" w:rsidRPr="00724CC4" w:rsidRDefault="00077168" w:rsidP="00724CC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мінімальна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рівню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В2,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480983" w14:textId="77777777" w:rsidR="00077168" w:rsidRPr="00724CC4" w:rsidRDefault="00077168" w:rsidP="00724CC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протоколу</w:t>
      </w:r>
      <w:proofErr w:type="gram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іспиту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вноситься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 (нуль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вступник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аспірантури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вступник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 80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1C67F" w14:textId="77777777" w:rsidR="00077168" w:rsidRPr="00724CC4" w:rsidRDefault="00077168" w:rsidP="0072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Вступник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аспірантури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набрав 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вступному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іспиті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випробування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B25541" w14:textId="77777777" w:rsidR="00724CC4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Вступники, які мають міжнародні сертифікати з іноземної мови, отримані впродовж останніх двох років, що засвідчують рівні С1 – С2, звільняються від складання вступного іспиту з іноземної мови.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Міжнародні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С1 – С2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прирівнюються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вступного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випробування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782B21"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іноземної</w:t>
      </w:r>
      <w:proofErr w:type="spellEnd"/>
      <w:proofErr w:type="gram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набирають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782B21"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48E328" w14:textId="1A72E776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Експертизу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поданих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вступниками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іноземної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засвідчують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рівні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С1 – С2, провод</w:t>
      </w: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 наукових досліджень та викладання іноземних мов НАН України</w:t>
      </w: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початку</w:t>
      </w:r>
      <w:proofErr w:type="gram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вступних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випробувань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724CC4"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іноземної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рівнів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С1 – С2,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зараховуються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замість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вступного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іспиту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аспірантури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подано у </w:t>
      </w:r>
      <w:proofErr w:type="spellStart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Додатку</w:t>
      </w:r>
      <w:proofErr w:type="spellEnd"/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724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E2E0C" w14:textId="757774ED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Послідовність складання вступних іспитів до аспірантури наступна: додаткове випробування (у разі необхідності), іноземна мова, випробування з фаху.</w:t>
      </w:r>
      <w:r w:rsidR="00A73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</w:rPr>
        <w:t xml:space="preserve">Для конкурсного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доктора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конкурсний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обчислюється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як сума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вступником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випробуваннях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93948" w14:textId="77777777" w:rsidR="00077168" w:rsidRPr="00724CC4" w:rsidRDefault="00077168" w:rsidP="0072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(КО) особи, яка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претендуватиме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зарахування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аспірантури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формуватиметься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формулою:</w:t>
      </w:r>
    </w:p>
    <w:p w14:paraId="344FD6DE" w14:textId="77777777" w:rsidR="00077168" w:rsidRPr="00724CC4" w:rsidRDefault="00077168" w:rsidP="00724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 = ВІС +ВІМ +</w:t>
      </w:r>
      <w:proofErr w:type="gramStart"/>
      <w:r w:rsidRPr="00A73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ДБ,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proofErr w:type="gram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де:</w:t>
      </w:r>
    </w:p>
    <w:p w14:paraId="75F2E22E" w14:textId="77777777" w:rsidR="00077168" w:rsidRPr="00724CC4" w:rsidRDefault="00077168" w:rsidP="00724CC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ВІС – результат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іспиту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спеціальності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100 бальною шкалою),</w:t>
      </w:r>
    </w:p>
    <w:p w14:paraId="01DBEF42" w14:textId="77777777" w:rsidR="00077168" w:rsidRPr="00724CC4" w:rsidRDefault="00077168" w:rsidP="00724CC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ВІМ – результат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іспиту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сертифіката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засвідчує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С1 – С2 (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замість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іспиту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D7663DB" w14:textId="77777777" w:rsidR="00077168" w:rsidRPr="00724CC4" w:rsidRDefault="00077168" w:rsidP="00724CC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ДБ –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E1C131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Знання вступника до аспірантури на вступних випробуваннях зі спеціальності оцінюються  за 100-бальною шкалою: 90-100 балів – «відмінно», 80-89 балів – «дуже добре», 70-79 балів – «добре», 60- 69 балів – «задовільно», 59 і менше балів — «незадовільно».</w:t>
      </w:r>
      <w:r w:rsidRPr="00724CC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7DB645" w14:textId="5520970E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Додаткові бали за наукові та навчальні досягнення вступників до аспірантури нараховує екзаменаційна комісія Інституту після проведення вступного іспиту зі спеціальності.</w:t>
      </w:r>
      <w:r w:rsidR="00A732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Порядок нарахування додаткових балів за навчальні/наукові досягнення для вступників до аспірантури подано у Додатку</w:t>
      </w:r>
      <w:r w:rsidR="008968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</w:p>
    <w:p w14:paraId="70C62132" w14:textId="77777777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Рейтинговий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впорядковується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конкурсним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балом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F47AD7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Особам, допущеним за рішенням Приймальної комісії до вступних іспитів в аспірантуру, надається відпустка для підготовки та складання іспитів згідно з чинним законодавством України.</w:t>
      </w:r>
    </w:p>
    <w:p w14:paraId="6D1977B9" w14:textId="618F0F7A" w:rsidR="00077168" w:rsidRPr="00724CC4" w:rsidRDefault="00077168" w:rsidP="00A73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причин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розкладом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час, особи,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оцінено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балами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забрали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випробуваннях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та у конкурсному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відборі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Перескладання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іспитів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2EA86" w14:textId="4851ADF6" w:rsidR="00077168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Вступники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аспірантури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витримали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замовлення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фінансуються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72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C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C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8B8CC4" w14:textId="04A3D8E1" w:rsidR="00A732FB" w:rsidRDefault="00A732FB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3E085" w14:textId="77777777" w:rsidR="00A732FB" w:rsidRPr="00724CC4" w:rsidRDefault="00A732FB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BBC2F6" w14:textId="218916CF" w:rsidR="00077168" w:rsidRPr="00724CC4" w:rsidRDefault="00077168" w:rsidP="00A73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24CC4">
        <w:rPr>
          <w:rFonts w:ascii="Times New Roman" w:hAnsi="Times New Roman" w:cs="Times New Roman"/>
          <w:b/>
          <w:sz w:val="28"/>
          <w:szCs w:val="28"/>
          <w:lang w:val="uk-UA"/>
        </w:rPr>
        <w:t>. Право на першочергове зарахування</w:t>
      </w:r>
    </w:p>
    <w:p w14:paraId="5B333E9E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У разі одержання однакової кількості балів переважне право при зарахуванні до аспірантури матимуть вступники:</w:t>
      </w:r>
    </w:p>
    <w:p w14:paraId="57F618C6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які мають наукові публікації, брали участь в олімпіадах, конкурсах, конференціях;</w:t>
      </w:r>
    </w:p>
    <w:p w14:paraId="17215AEB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які успішно закінчили магістратуру, отримавши диплом магістра з відзнакою;</w:t>
      </w:r>
    </w:p>
    <w:p w14:paraId="75A9ADED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рекомендовані до вступу в аспірантуру Вченою радою вищого навчального закладу (факультету, інституту), наукової установи;</w:t>
      </w:r>
    </w:p>
    <w:p w14:paraId="09826505" w14:textId="77777777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>• мають міжнародний сертифікат з іноземної мови, що підтверджує рівні С1 або С2.</w:t>
      </w:r>
    </w:p>
    <w:p w14:paraId="6A6A3779" w14:textId="52F97B78" w:rsidR="00077168" w:rsidRPr="00724CC4" w:rsidRDefault="00077168" w:rsidP="00724C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Правила прийому до аспірантури діють з </w:t>
      </w:r>
      <w:r w:rsidR="0086706B" w:rsidRPr="00724C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липня 20</w:t>
      </w:r>
      <w:r w:rsidR="0086706B" w:rsidRPr="00724CC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 xml:space="preserve"> р. до 30 червня 20</w:t>
      </w:r>
      <w:r w:rsidR="0086706B" w:rsidRPr="00724CC4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24CC4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07DF01D0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554EC6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BBBCFA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4D7B65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838A7C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64AB1D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0538F3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9668BB4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0A8464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85ECA3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D3E9E1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C02D37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934D9B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14F6BF" w14:textId="233CB823" w:rsidR="00782B21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70E9FF" w14:textId="65CDC492" w:rsidR="00A732FB" w:rsidRDefault="00A732FB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FB110C" w14:textId="37C9C470" w:rsidR="00A732FB" w:rsidRDefault="00A732FB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81D6AD" w14:textId="77777777" w:rsidR="00A732FB" w:rsidRPr="00724CC4" w:rsidRDefault="00A732FB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4AC325" w14:textId="77777777" w:rsidR="00782B21" w:rsidRPr="00724CC4" w:rsidRDefault="00782B21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2D4067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760C80B6" w14:textId="77777777" w:rsidR="00077168" w:rsidRPr="00724CC4" w:rsidRDefault="00077168" w:rsidP="00724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міжнародних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сертифікатів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іноземної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мови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рівнів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С1 – С2, </w:t>
      </w:r>
    </w:p>
    <w:p w14:paraId="58B2C964" w14:textId="77777777" w:rsidR="00077168" w:rsidRPr="00724CC4" w:rsidRDefault="00077168" w:rsidP="00724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зараховуються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замість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вступного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іспиту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аспірантури</w:t>
      </w:r>
      <w:proofErr w:type="spell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4"/>
        <w:gridCol w:w="3402"/>
        <w:gridCol w:w="2850"/>
      </w:tblGrid>
      <w:tr w:rsidR="00077168" w:rsidRPr="00724CC4" w14:paraId="7A9E7E14" w14:textId="77777777" w:rsidTr="00A732FB">
        <w:trPr>
          <w:trHeight w:val="1289"/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1C2C6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Іноземна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A0385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Екзамен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5B3C6" w14:textId="123DDE3F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Бали,</w:t>
            </w:r>
            <w:r w:rsidR="00A732FB"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відповідають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рівням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73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С1 та С2</w:t>
            </w:r>
          </w:p>
        </w:tc>
      </w:tr>
      <w:tr w:rsidR="00077168" w:rsidRPr="00724CC4" w14:paraId="42F06DFD" w14:textId="77777777" w:rsidTr="00A732FB">
        <w:trPr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CC96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07222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IELTS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73B72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6.5-9</w:t>
            </w:r>
          </w:p>
        </w:tc>
      </w:tr>
      <w:tr w:rsidR="00077168" w:rsidRPr="00724CC4" w14:paraId="6D0E1440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85A21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667F2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TOEFL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iBT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TOEFL paper based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2268B" w14:textId="77777777" w:rsidR="00724CC4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79-120</w:t>
            </w:r>
          </w:p>
          <w:p w14:paraId="5EAEA573" w14:textId="68DF613C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550-677</w:t>
            </w:r>
          </w:p>
        </w:tc>
      </w:tr>
      <w:tr w:rsidR="00077168" w:rsidRPr="00724CC4" w14:paraId="768A64D8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BD588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AD08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CPE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9D197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A, B, C</w:t>
            </w:r>
          </w:p>
        </w:tc>
      </w:tr>
      <w:tr w:rsidR="00077168" w:rsidRPr="00724CC4" w14:paraId="1A6B9D00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BAE40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8A9CA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CAE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66A60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A, B, C</w:t>
            </w:r>
          </w:p>
        </w:tc>
      </w:tr>
      <w:tr w:rsidR="00077168" w:rsidRPr="00724CC4" w14:paraId="3FAC0F0D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2BE5A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D42C3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FCE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6F1ED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Grade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</w:t>
            </w:r>
          </w:p>
        </w:tc>
      </w:tr>
      <w:tr w:rsidR="00077168" w:rsidRPr="00724CC4" w14:paraId="1B577CB2" w14:textId="77777777" w:rsidTr="00A732FB">
        <w:trPr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A4C9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Німецька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9727B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Test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DaF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9BDE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077168" w:rsidRPr="00724CC4" w14:paraId="7564FD3E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7859F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C6C7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Goethe-Zertifikat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FABF7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 – C2</w:t>
            </w:r>
          </w:p>
        </w:tc>
      </w:tr>
      <w:tr w:rsidR="00077168" w:rsidRPr="00724CC4" w14:paraId="4E933C1B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41D8C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E5E9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Zentrale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berstufenprьfung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FEC26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</w:t>
            </w:r>
          </w:p>
        </w:tc>
      </w:tr>
      <w:tr w:rsidR="00077168" w:rsidRPr="00724CC4" w14:paraId="4AC3AC15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5AA89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BEB44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Kleines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Deutsches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Sprachdiplom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D4A9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</w:t>
            </w:r>
          </w:p>
        </w:tc>
      </w:tr>
      <w:tr w:rsidR="00077168" w:rsidRPr="00724CC4" w14:paraId="13B01993" w14:textId="77777777" w:rsidTr="00A732FB">
        <w:trPr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D715A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Французька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26DB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TCF C1 – TCF C2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83EDA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 – C2</w:t>
            </w:r>
          </w:p>
        </w:tc>
      </w:tr>
      <w:tr w:rsidR="00077168" w:rsidRPr="00724CC4" w14:paraId="4B0125A1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1D0DA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61ABB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DALF C1 – DALF C2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C421D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 – C2</w:t>
            </w:r>
          </w:p>
        </w:tc>
      </w:tr>
      <w:tr w:rsidR="00077168" w:rsidRPr="00724CC4" w14:paraId="3C9871DD" w14:textId="77777777" w:rsidTr="00A732FB">
        <w:trPr>
          <w:trHeight w:val="326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D7C31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20A17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DSLCF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9E73A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</w:t>
            </w:r>
          </w:p>
        </w:tc>
      </w:tr>
      <w:tr w:rsidR="00077168" w:rsidRPr="00724CC4" w14:paraId="13EFE2FF" w14:textId="77777777" w:rsidTr="00A732FB">
        <w:trPr>
          <w:trHeight w:val="236"/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5044D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2CFB8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DHEF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37A635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</w:t>
            </w:r>
          </w:p>
        </w:tc>
      </w:tr>
      <w:tr w:rsidR="00077168" w:rsidRPr="00724CC4" w14:paraId="3ED4EAD3" w14:textId="77777777" w:rsidTr="00A732F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41CC3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Іспанська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053A8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DELE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646BF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 – C2</w:t>
            </w:r>
          </w:p>
        </w:tc>
      </w:tr>
      <w:tr w:rsidR="00077168" w:rsidRPr="00724CC4" w14:paraId="4795CCC3" w14:textId="77777777" w:rsidTr="00A732FB">
        <w:trPr>
          <w:tblCellSpacing w:w="0" w:type="dxa"/>
          <w:jc w:val="center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1678A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Італійська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DC62B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CELI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81977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077168" w:rsidRPr="00724CC4" w14:paraId="0F9E3633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D2935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2C453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CILS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27779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Tre</w:t>
            </w:r>
            <w:proofErr w:type="spellEnd"/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Quattro</w:t>
            </w:r>
          </w:p>
        </w:tc>
      </w:tr>
      <w:tr w:rsidR="00077168" w:rsidRPr="00724CC4" w14:paraId="3304644B" w14:textId="77777777" w:rsidTr="00A732FB">
        <w:trPr>
          <w:tblCellSpacing w:w="0" w:type="dxa"/>
          <w:jc w:val="center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202D1" w14:textId="77777777" w:rsidR="00077168" w:rsidRPr="00A732FB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2DFEB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PLIDA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52BF6" w14:textId="77777777" w:rsidR="00077168" w:rsidRPr="00A732FB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C1 – C2</w:t>
            </w:r>
          </w:p>
        </w:tc>
      </w:tr>
    </w:tbl>
    <w:p w14:paraId="4A88689D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6E89860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42A559E" w14:textId="77777777" w:rsidR="00077168" w:rsidRPr="00724CC4" w:rsidRDefault="00077168" w:rsidP="00724C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4CC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14:paraId="172377D3" w14:textId="77777777" w:rsidR="00077168" w:rsidRPr="00724CC4" w:rsidRDefault="00077168" w:rsidP="00724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нарахування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додаткових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навчальні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наукові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досягнення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вступників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аспірантури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здобуття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наукового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ступеня</w:t>
      </w:r>
      <w:proofErr w:type="spellEnd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доктора </w:t>
      </w:r>
      <w:proofErr w:type="spellStart"/>
      <w:r w:rsidRPr="00724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філософії</w:t>
      </w:r>
      <w:proofErr w:type="spellEnd"/>
    </w:p>
    <w:p w14:paraId="46B8A302" w14:textId="77777777" w:rsidR="00077168" w:rsidRPr="00724CC4" w:rsidRDefault="00077168" w:rsidP="00724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05"/>
        <w:gridCol w:w="1410"/>
        <w:gridCol w:w="3195"/>
      </w:tblGrid>
      <w:tr w:rsidR="00077168" w:rsidRPr="00724CC4" w14:paraId="79DD7562" w14:textId="77777777" w:rsidTr="000A0CE9">
        <w:trPr>
          <w:trHeight w:val="450"/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256E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наукові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досягнення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C80DB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84075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балів</w:t>
            </w:r>
            <w:proofErr w:type="spellEnd"/>
          </w:p>
        </w:tc>
      </w:tr>
      <w:tr w:rsidR="00077168" w:rsidRPr="00724CC4" w14:paraId="552B4EED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ED293D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сертифікат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іноземної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отриманий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останні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два роки,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підтверджує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рівні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С1 – С2 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вище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3CDB9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7ED67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 – 5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С2 – 10</w:t>
            </w:r>
          </w:p>
        </w:tc>
      </w:tr>
      <w:tr w:rsidR="00077168" w:rsidRPr="00724CC4" w14:paraId="0871E741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FB103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призера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6B4E7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6E2A7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077168" w:rsidRPr="00724CC4" w14:paraId="7AF3EAFF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16023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призера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олімпіади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1E90B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62C07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друге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третє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</w:t>
            </w:r>
          </w:p>
        </w:tc>
      </w:tr>
      <w:tr w:rsidR="00077168" w:rsidRPr="00724CC4" w14:paraId="374F97E7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B2C66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призера конкурсу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МОН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33752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E1EC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друге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третє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</w:t>
            </w:r>
          </w:p>
        </w:tc>
      </w:tr>
      <w:tr w:rsidR="00077168" w:rsidRPr="00724CC4" w14:paraId="4FB711DE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34A12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переможця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призера конкурсу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студентських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робіт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D3D2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FC5E1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перше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друге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</w:t>
            </w: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третє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10</w:t>
            </w:r>
          </w:p>
        </w:tc>
      </w:tr>
      <w:tr w:rsidR="00077168" w:rsidRPr="00724CC4" w14:paraId="1A257A3E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55647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лауреата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премії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студентів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вищих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закладів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BB97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6AB47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7168" w:rsidRPr="00724CC4" w14:paraId="4DEC36A9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F5FE3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Стаття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науковому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виданні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включеному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Переліку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видань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E4641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A0DB3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77168" w:rsidRPr="00724CC4" w14:paraId="44B484A6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F9D8CB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виданні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яке входить до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наукометричних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Scopus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Web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Science,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Copernikus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EEE11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FC1A4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стаття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77168" w:rsidRPr="00724CC4" w14:paraId="608584AA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1B1F7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Одноосібна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монографія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розділ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колективній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монографії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яка рекомендована до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друку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радою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52C85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9B159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077168" w:rsidRPr="00724CC4" w14:paraId="15033478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3F45B8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всеукраїнській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опублікування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доповіді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2AD7C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661D1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теза)</w:t>
            </w:r>
          </w:p>
        </w:tc>
      </w:tr>
      <w:tr w:rsidR="00077168" w:rsidRPr="00724CC4" w14:paraId="6F387B27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009325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міжнародній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конференції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опублікування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доповіді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обраною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спеціальністю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9CB15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0B9E5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(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кожна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теза)</w:t>
            </w:r>
          </w:p>
        </w:tc>
      </w:tr>
      <w:tr w:rsidR="00077168" w:rsidRPr="00724CC4" w14:paraId="320132E6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975D6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Патент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авторське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свідоцтво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винахід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A778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80EEC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77168" w:rsidRPr="00724CC4" w14:paraId="05D2294C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A801D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Рекомендація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Вченої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інституту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аспірантури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1BB36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80F5D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77168" w:rsidRPr="00724CC4" w14:paraId="2D432020" w14:textId="77777777" w:rsidTr="000A0CE9">
        <w:trPr>
          <w:tblCellSpacing w:w="0" w:type="dxa"/>
          <w:jc w:val="center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86F929" w14:textId="77777777" w:rsidR="00077168" w:rsidRPr="00724CC4" w:rsidRDefault="00077168" w:rsidP="00724C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спеціаліста</w:t>
            </w:r>
            <w:proofErr w:type="spellEnd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відзнакою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18EB5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ДБ14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C9669" w14:textId="77777777" w:rsidR="00077168" w:rsidRPr="00724CC4" w:rsidRDefault="00077168" w:rsidP="00724C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C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14:paraId="03342746" w14:textId="77777777" w:rsidR="00F133CA" w:rsidRPr="00724CC4" w:rsidRDefault="00077168" w:rsidP="00724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диплом,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отриманий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магістратурі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 за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моменту</w:t>
      </w:r>
      <w:proofErr w:type="gram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60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участь у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конференціях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*** за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моменту </w:t>
      </w:r>
      <w:proofErr w:type="spellStart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вступу</w:t>
      </w:r>
      <w:proofErr w:type="spellEnd"/>
      <w:r w:rsidRPr="007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133CA" w:rsidRPr="00724CC4" w:rsidSect="00F1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205F"/>
    <w:multiLevelType w:val="hybridMultilevel"/>
    <w:tmpl w:val="99A0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08F8"/>
    <w:multiLevelType w:val="multilevel"/>
    <w:tmpl w:val="821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D1B12"/>
    <w:multiLevelType w:val="hybridMultilevel"/>
    <w:tmpl w:val="31889BA4"/>
    <w:lvl w:ilvl="0" w:tplc="3038238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C4"/>
    <w:rsid w:val="0000411B"/>
    <w:rsid w:val="00005773"/>
    <w:rsid w:val="000109DE"/>
    <w:rsid w:val="000126EA"/>
    <w:rsid w:val="0001642E"/>
    <w:rsid w:val="000213B1"/>
    <w:rsid w:val="00023855"/>
    <w:rsid w:val="00032B95"/>
    <w:rsid w:val="000349F5"/>
    <w:rsid w:val="00036866"/>
    <w:rsid w:val="00036DD8"/>
    <w:rsid w:val="00040E30"/>
    <w:rsid w:val="00042A87"/>
    <w:rsid w:val="000430C0"/>
    <w:rsid w:val="00046499"/>
    <w:rsid w:val="00054B44"/>
    <w:rsid w:val="00062280"/>
    <w:rsid w:val="0007347B"/>
    <w:rsid w:val="00077168"/>
    <w:rsid w:val="00080CA8"/>
    <w:rsid w:val="00080E93"/>
    <w:rsid w:val="00081899"/>
    <w:rsid w:val="000842B0"/>
    <w:rsid w:val="00087A9E"/>
    <w:rsid w:val="00090A9D"/>
    <w:rsid w:val="0009122A"/>
    <w:rsid w:val="00091319"/>
    <w:rsid w:val="00094ED9"/>
    <w:rsid w:val="00095288"/>
    <w:rsid w:val="000A04CB"/>
    <w:rsid w:val="000A3EE1"/>
    <w:rsid w:val="000B4ABB"/>
    <w:rsid w:val="000B51C2"/>
    <w:rsid w:val="000C600F"/>
    <w:rsid w:val="000D1CA5"/>
    <w:rsid w:val="000D1E08"/>
    <w:rsid w:val="000E67FA"/>
    <w:rsid w:val="000E7FD6"/>
    <w:rsid w:val="000F0199"/>
    <w:rsid w:val="000F13E9"/>
    <w:rsid w:val="000F39E2"/>
    <w:rsid w:val="001066DA"/>
    <w:rsid w:val="001139E3"/>
    <w:rsid w:val="0012047F"/>
    <w:rsid w:val="0012363D"/>
    <w:rsid w:val="001262C8"/>
    <w:rsid w:val="00126D76"/>
    <w:rsid w:val="001278AF"/>
    <w:rsid w:val="00133AFA"/>
    <w:rsid w:val="00134CA0"/>
    <w:rsid w:val="0014047F"/>
    <w:rsid w:val="0014146C"/>
    <w:rsid w:val="0015274A"/>
    <w:rsid w:val="00154CF9"/>
    <w:rsid w:val="001578EC"/>
    <w:rsid w:val="0016419E"/>
    <w:rsid w:val="00165988"/>
    <w:rsid w:val="001738AB"/>
    <w:rsid w:val="001761EC"/>
    <w:rsid w:val="00177EDA"/>
    <w:rsid w:val="00181146"/>
    <w:rsid w:val="00181F7C"/>
    <w:rsid w:val="001853C1"/>
    <w:rsid w:val="001861FF"/>
    <w:rsid w:val="00187885"/>
    <w:rsid w:val="00187FB4"/>
    <w:rsid w:val="00194144"/>
    <w:rsid w:val="00197B90"/>
    <w:rsid w:val="001A6C9C"/>
    <w:rsid w:val="001A786B"/>
    <w:rsid w:val="001B1BFD"/>
    <w:rsid w:val="001B4F12"/>
    <w:rsid w:val="001B5FC2"/>
    <w:rsid w:val="001B6389"/>
    <w:rsid w:val="001B7761"/>
    <w:rsid w:val="001C3C4A"/>
    <w:rsid w:val="001C48D9"/>
    <w:rsid w:val="001D1F82"/>
    <w:rsid w:val="001D739F"/>
    <w:rsid w:val="001D7BBB"/>
    <w:rsid w:val="001E254D"/>
    <w:rsid w:val="001F0B5B"/>
    <w:rsid w:val="00205CB3"/>
    <w:rsid w:val="002060BE"/>
    <w:rsid w:val="00207ED7"/>
    <w:rsid w:val="00210701"/>
    <w:rsid w:val="002115DF"/>
    <w:rsid w:val="00213AA7"/>
    <w:rsid w:val="0021431B"/>
    <w:rsid w:val="002143C5"/>
    <w:rsid w:val="00216ED5"/>
    <w:rsid w:val="00217A22"/>
    <w:rsid w:val="00217E78"/>
    <w:rsid w:val="0022315B"/>
    <w:rsid w:val="002306BA"/>
    <w:rsid w:val="00230BA6"/>
    <w:rsid w:val="00230CF9"/>
    <w:rsid w:val="00232600"/>
    <w:rsid w:val="00232954"/>
    <w:rsid w:val="00232A95"/>
    <w:rsid w:val="00235C81"/>
    <w:rsid w:val="002427F0"/>
    <w:rsid w:val="00244293"/>
    <w:rsid w:val="00244ED6"/>
    <w:rsid w:val="00245C5C"/>
    <w:rsid w:val="00245DD7"/>
    <w:rsid w:val="0025054C"/>
    <w:rsid w:val="00250EAA"/>
    <w:rsid w:val="00251D50"/>
    <w:rsid w:val="0026010D"/>
    <w:rsid w:val="00265A0E"/>
    <w:rsid w:val="00265BF9"/>
    <w:rsid w:val="00270982"/>
    <w:rsid w:val="002732D8"/>
    <w:rsid w:val="00273A38"/>
    <w:rsid w:val="00280BFA"/>
    <w:rsid w:val="002827AA"/>
    <w:rsid w:val="0028739E"/>
    <w:rsid w:val="0029719E"/>
    <w:rsid w:val="002A03B7"/>
    <w:rsid w:val="002A099A"/>
    <w:rsid w:val="002A3034"/>
    <w:rsid w:val="002A4136"/>
    <w:rsid w:val="002A4D36"/>
    <w:rsid w:val="002A6B04"/>
    <w:rsid w:val="002A6DC1"/>
    <w:rsid w:val="002A78E9"/>
    <w:rsid w:val="002B1B68"/>
    <w:rsid w:val="002B21CC"/>
    <w:rsid w:val="002B73C5"/>
    <w:rsid w:val="002C05C2"/>
    <w:rsid w:val="002C2E6B"/>
    <w:rsid w:val="002C5734"/>
    <w:rsid w:val="002D0AF7"/>
    <w:rsid w:val="002D0E08"/>
    <w:rsid w:val="002D0ED1"/>
    <w:rsid w:val="002D292A"/>
    <w:rsid w:val="002D2DF9"/>
    <w:rsid w:val="002E13C0"/>
    <w:rsid w:val="002E20DC"/>
    <w:rsid w:val="002E2A62"/>
    <w:rsid w:val="002E54B1"/>
    <w:rsid w:val="002F1953"/>
    <w:rsid w:val="002F24C9"/>
    <w:rsid w:val="002F5ABC"/>
    <w:rsid w:val="0030295F"/>
    <w:rsid w:val="0030330F"/>
    <w:rsid w:val="003052DF"/>
    <w:rsid w:val="00312F53"/>
    <w:rsid w:val="003132C9"/>
    <w:rsid w:val="00325234"/>
    <w:rsid w:val="00326095"/>
    <w:rsid w:val="00330B66"/>
    <w:rsid w:val="00331A4B"/>
    <w:rsid w:val="0033217E"/>
    <w:rsid w:val="003344F4"/>
    <w:rsid w:val="00336641"/>
    <w:rsid w:val="00337373"/>
    <w:rsid w:val="00337E54"/>
    <w:rsid w:val="00342E92"/>
    <w:rsid w:val="003435E6"/>
    <w:rsid w:val="003474D4"/>
    <w:rsid w:val="00353EF1"/>
    <w:rsid w:val="00357C8A"/>
    <w:rsid w:val="003604CB"/>
    <w:rsid w:val="003628DB"/>
    <w:rsid w:val="00370F30"/>
    <w:rsid w:val="00372C31"/>
    <w:rsid w:val="00375B5D"/>
    <w:rsid w:val="00380A1D"/>
    <w:rsid w:val="003827FA"/>
    <w:rsid w:val="00396E6A"/>
    <w:rsid w:val="003A06FF"/>
    <w:rsid w:val="003A18C3"/>
    <w:rsid w:val="003A2296"/>
    <w:rsid w:val="003A7583"/>
    <w:rsid w:val="003B12FE"/>
    <w:rsid w:val="003B6116"/>
    <w:rsid w:val="003C26AD"/>
    <w:rsid w:val="003C2A26"/>
    <w:rsid w:val="003D199A"/>
    <w:rsid w:val="003D2AE2"/>
    <w:rsid w:val="003D38D7"/>
    <w:rsid w:val="003D3FD6"/>
    <w:rsid w:val="003D67BF"/>
    <w:rsid w:val="003D6C80"/>
    <w:rsid w:val="003E1DF8"/>
    <w:rsid w:val="003E281E"/>
    <w:rsid w:val="003E63E0"/>
    <w:rsid w:val="003F1D06"/>
    <w:rsid w:val="003F392C"/>
    <w:rsid w:val="003F43C4"/>
    <w:rsid w:val="003F4A2B"/>
    <w:rsid w:val="003F7AF8"/>
    <w:rsid w:val="00400C50"/>
    <w:rsid w:val="00404E06"/>
    <w:rsid w:val="0041731C"/>
    <w:rsid w:val="0042086A"/>
    <w:rsid w:val="00422579"/>
    <w:rsid w:val="004225D6"/>
    <w:rsid w:val="00433C1E"/>
    <w:rsid w:val="0043529A"/>
    <w:rsid w:val="0043632B"/>
    <w:rsid w:val="00444170"/>
    <w:rsid w:val="0044755B"/>
    <w:rsid w:val="00452069"/>
    <w:rsid w:val="00455988"/>
    <w:rsid w:val="00455E7E"/>
    <w:rsid w:val="00470859"/>
    <w:rsid w:val="0047138D"/>
    <w:rsid w:val="00474646"/>
    <w:rsid w:val="00474F92"/>
    <w:rsid w:val="00477626"/>
    <w:rsid w:val="00481F0F"/>
    <w:rsid w:val="004835D5"/>
    <w:rsid w:val="00484DA4"/>
    <w:rsid w:val="004861D5"/>
    <w:rsid w:val="00496BC7"/>
    <w:rsid w:val="004A1101"/>
    <w:rsid w:val="004A18ED"/>
    <w:rsid w:val="004A38F4"/>
    <w:rsid w:val="004A75F6"/>
    <w:rsid w:val="004B2860"/>
    <w:rsid w:val="004B2FC4"/>
    <w:rsid w:val="004B4B66"/>
    <w:rsid w:val="004B58A1"/>
    <w:rsid w:val="004B6B34"/>
    <w:rsid w:val="004C2A18"/>
    <w:rsid w:val="004C325E"/>
    <w:rsid w:val="004C59C4"/>
    <w:rsid w:val="004C792D"/>
    <w:rsid w:val="004D0B3C"/>
    <w:rsid w:val="004D3307"/>
    <w:rsid w:val="004E07AF"/>
    <w:rsid w:val="004E1B2D"/>
    <w:rsid w:val="004E1F45"/>
    <w:rsid w:val="004E42B3"/>
    <w:rsid w:val="004E4BDE"/>
    <w:rsid w:val="004E56C9"/>
    <w:rsid w:val="004F02DB"/>
    <w:rsid w:val="004F4165"/>
    <w:rsid w:val="00505AE2"/>
    <w:rsid w:val="00507D89"/>
    <w:rsid w:val="00517D0F"/>
    <w:rsid w:val="00520E36"/>
    <w:rsid w:val="0052433D"/>
    <w:rsid w:val="00527928"/>
    <w:rsid w:val="0053129C"/>
    <w:rsid w:val="005334D9"/>
    <w:rsid w:val="00533A89"/>
    <w:rsid w:val="0053512F"/>
    <w:rsid w:val="005414D4"/>
    <w:rsid w:val="005432F9"/>
    <w:rsid w:val="00544D05"/>
    <w:rsid w:val="0054598B"/>
    <w:rsid w:val="00546D6E"/>
    <w:rsid w:val="0055445B"/>
    <w:rsid w:val="00554FF8"/>
    <w:rsid w:val="00555960"/>
    <w:rsid w:val="00556399"/>
    <w:rsid w:val="005572DB"/>
    <w:rsid w:val="005604B7"/>
    <w:rsid w:val="00561EC6"/>
    <w:rsid w:val="005638B5"/>
    <w:rsid w:val="00564105"/>
    <w:rsid w:val="0056656C"/>
    <w:rsid w:val="005702E4"/>
    <w:rsid w:val="00570825"/>
    <w:rsid w:val="00570CF6"/>
    <w:rsid w:val="00570EBA"/>
    <w:rsid w:val="00572E6C"/>
    <w:rsid w:val="00575B70"/>
    <w:rsid w:val="005765A6"/>
    <w:rsid w:val="00576AC7"/>
    <w:rsid w:val="00583201"/>
    <w:rsid w:val="00584D05"/>
    <w:rsid w:val="00584FAB"/>
    <w:rsid w:val="00585282"/>
    <w:rsid w:val="00591972"/>
    <w:rsid w:val="00592977"/>
    <w:rsid w:val="00594A37"/>
    <w:rsid w:val="005A0317"/>
    <w:rsid w:val="005A17E6"/>
    <w:rsid w:val="005A5B92"/>
    <w:rsid w:val="005B0BF9"/>
    <w:rsid w:val="005B30E0"/>
    <w:rsid w:val="005B37E0"/>
    <w:rsid w:val="005B45F0"/>
    <w:rsid w:val="005B6AEA"/>
    <w:rsid w:val="005B6CEA"/>
    <w:rsid w:val="005C62C0"/>
    <w:rsid w:val="005D238E"/>
    <w:rsid w:val="005E3BB8"/>
    <w:rsid w:val="005E4B50"/>
    <w:rsid w:val="005E6622"/>
    <w:rsid w:val="005E759F"/>
    <w:rsid w:val="005F6E66"/>
    <w:rsid w:val="00604077"/>
    <w:rsid w:val="0060580A"/>
    <w:rsid w:val="0061375B"/>
    <w:rsid w:val="00614135"/>
    <w:rsid w:val="00615415"/>
    <w:rsid w:val="00615CCD"/>
    <w:rsid w:val="00621A4E"/>
    <w:rsid w:val="00621F28"/>
    <w:rsid w:val="00621FCB"/>
    <w:rsid w:val="0062250A"/>
    <w:rsid w:val="006228D5"/>
    <w:rsid w:val="00623034"/>
    <w:rsid w:val="00624BAD"/>
    <w:rsid w:val="00627EF3"/>
    <w:rsid w:val="0063274E"/>
    <w:rsid w:val="00642986"/>
    <w:rsid w:val="00646C8E"/>
    <w:rsid w:val="00647DA6"/>
    <w:rsid w:val="00655D46"/>
    <w:rsid w:val="00661491"/>
    <w:rsid w:val="006642D9"/>
    <w:rsid w:val="00667468"/>
    <w:rsid w:val="00670204"/>
    <w:rsid w:val="006708F2"/>
    <w:rsid w:val="00672ACD"/>
    <w:rsid w:val="006764B7"/>
    <w:rsid w:val="0068070C"/>
    <w:rsid w:val="006834FD"/>
    <w:rsid w:val="006858D5"/>
    <w:rsid w:val="006870EA"/>
    <w:rsid w:val="00691764"/>
    <w:rsid w:val="00693D07"/>
    <w:rsid w:val="006A0C71"/>
    <w:rsid w:val="006A16FD"/>
    <w:rsid w:val="006A21AE"/>
    <w:rsid w:val="006A5557"/>
    <w:rsid w:val="006A736A"/>
    <w:rsid w:val="006B300F"/>
    <w:rsid w:val="006B6558"/>
    <w:rsid w:val="006C085F"/>
    <w:rsid w:val="006C1B2F"/>
    <w:rsid w:val="006C1EDF"/>
    <w:rsid w:val="006C5275"/>
    <w:rsid w:val="006C66B1"/>
    <w:rsid w:val="006C6C40"/>
    <w:rsid w:val="006D444C"/>
    <w:rsid w:val="006F3504"/>
    <w:rsid w:val="006F51DF"/>
    <w:rsid w:val="007000FA"/>
    <w:rsid w:val="007024D3"/>
    <w:rsid w:val="007043EF"/>
    <w:rsid w:val="007123D9"/>
    <w:rsid w:val="00717694"/>
    <w:rsid w:val="00724CC4"/>
    <w:rsid w:val="00727966"/>
    <w:rsid w:val="00736245"/>
    <w:rsid w:val="00741314"/>
    <w:rsid w:val="007437BC"/>
    <w:rsid w:val="00743D51"/>
    <w:rsid w:val="007441B5"/>
    <w:rsid w:val="007503C1"/>
    <w:rsid w:val="00752F8D"/>
    <w:rsid w:val="00754AB9"/>
    <w:rsid w:val="00762D2F"/>
    <w:rsid w:val="007634C0"/>
    <w:rsid w:val="0076399F"/>
    <w:rsid w:val="007641B1"/>
    <w:rsid w:val="007652E3"/>
    <w:rsid w:val="00766A28"/>
    <w:rsid w:val="007724F2"/>
    <w:rsid w:val="007725E7"/>
    <w:rsid w:val="007739D6"/>
    <w:rsid w:val="00774D17"/>
    <w:rsid w:val="00775236"/>
    <w:rsid w:val="007763D9"/>
    <w:rsid w:val="00777CCF"/>
    <w:rsid w:val="00782A45"/>
    <w:rsid w:val="00782B21"/>
    <w:rsid w:val="00783AAF"/>
    <w:rsid w:val="00785DB1"/>
    <w:rsid w:val="007939C4"/>
    <w:rsid w:val="0079526A"/>
    <w:rsid w:val="007A310C"/>
    <w:rsid w:val="007A32F7"/>
    <w:rsid w:val="007B0157"/>
    <w:rsid w:val="007B3841"/>
    <w:rsid w:val="007B3B61"/>
    <w:rsid w:val="007B4218"/>
    <w:rsid w:val="007B57EE"/>
    <w:rsid w:val="007B789A"/>
    <w:rsid w:val="007C04A4"/>
    <w:rsid w:val="007C07DE"/>
    <w:rsid w:val="007C612D"/>
    <w:rsid w:val="007C7E08"/>
    <w:rsid w:val="007D340E"/>
    <w:rsid w:val="007D76A7"/>
    <w:rsid w:val="007E1C60"/>
    <w:rsid w:val="007E257B"/>
    <w:rsid w:val="007F214C"/>
    <w:rsid w:val="007F47CF"/>
    <w:rsid w:val="007F5F2C"/>
    <w:rsid w:val="00801577"/>
    <w:rsid w:val="0081003F"/>
    <w:rsid w:val="00810C7B"/>
    <w:rsid w:val="0081390C"/>
    <w:rsid w:val="008153F4"/>
    <w:rsid w:val="00815D2B"/>
    <w:rsid w:val="008163F0"/>
    <w:rsid w:val="00816989"/>
    <w:rsid w:val="0082111A"/>
    <w:rsid w:val="00821DF5"/>
    <w:rsid w:val="00823F14"/>
    <w:rsid w:val="008245D9"/>
    <w:rsid w:val="00832094"/>
    <w:rsid w:val="008358ED"/>
    <w:rsid w:val="00845DC4"/>
    <w:rsid w:val="0085295A"/>
    <w:rsid w:val="00852E5B"/>
    <w:rsid w:val="008553A7"/>
    <w:rsid w:val="00862009"/>
    <w:rsid w:val="0086318D"/>
    <w:rsid w:val="00865754"/>
    <w:rsid w:val="0086706B"/>
    <w:rsid w:val="00867C39"/>
    <w:rsid w:val="00871A15"/>
    <w:rsid w:val="0087383D"/>
    <w:rsid w:val="00880F3C"/>
    <w:rsid w:val="00883FEB"/>
    <w:rsid w:val="00884F81"/>
    <w:rsid w:val="00885094"/>
    <w:rsid w:val="00885D01"/>
    <w:rsid w:val="0089688E"/>
    <w:rsid w:val="00896C78"/>
    <w:rsid w:val="00897CD4"/>
    <w:rsid w:val="008A1559"/>
    <w:rsid w:val="008A492F"/>
    <w:rsid w:val="008A6FBA"/>
    <w:rsid w:val="008A710D"/>
    <w:rsid w:val="008A75C8"/>
    <w:rsid w:val="008B0F91"/>
    <w:rsid w:val="008B1466"/>
    <w:rsid w:val="008B3B39"/>
    <w:rsid w:val="008C0338"/>
    <w:rsid w:val="008C0699"/>
    <w:rsid w:val="008D0252"/>
    <w:rsid w:val="008E2003"/>
    <w:rsid w:val="008E3FF7"/>
    <w:rsid w:val="008E4179"/>
    <w:rsid w:val="008E4B15"/>
    <w:rsid w:val="008E5C69"/>
    <w:rsid w:val="008F0550"/>
    <w:rsid w:val="008F2836"/>
    <w:rsid w:val="008F67E6"/>
    <w:rsid w:val="008F685B"/>
    <w:rsid w:val="009001D6"/>
    <w:rsid w:val="00901843"/>
    <w:rsid w:val="009041D1"/>
    <w:rsid w:val="009169DF"/>
    <w:rsid w:val="00920710"/>
    <w:rsid w:val="00921702"/>
    <w:rsid w:val="00922EED"/>
    <w:rsid w:val="0092674F"/>
    <w:rsid w:val="009267B2"/>
    <w:rsid w:val="0092732A"/>
    <w:rsid w:val="009323DC"/>
    <w:rsid w:val="009330BC"/>
    <w:rsid w:val="009337B4"/>
    <w:rsid w:val="00935B17"/>
    <w:rsid w:val="00946184"/>
    <w:rsid w:val="009544EB"/>
    <w:rsid w:val="00956F6F"/>
    <w:rsid w:val="00960020"/>
    <w:rsid w:val="00960A1A"/>
    <w:rsid w:val="009626E1"/>
    <w:rsid w:val="00962BD3"/>
    <w:rsid w:val="009656D1"/>
    <w:rsid w:val="00970080"/>
    <w:rsid w:val="00970899"/>
    <w:rsid w:val="00972E59"/>
    <w:rsid w:val="0097414A"/>
    <w:rsid w:val="00977C92"/>
    <w:rsid w:val="0098745B"/>
    <w:rsid w:val="009910DD"/>
    <w:rsid w:val="00994DCC"/>
    <w:rsid w:val="009973BA"/>
    <w:rsid w:val="00997B3D"/>
    <w:rsid w:val="009A2897"/>
    <w:rsid w:val="009A48FE"/>
    <w:rsid w:val="009B1068"/>
    <w:rsid w:val="009B1CA7"/>
    <w:rsid w:val="009C407C"/>
    <w:rsid w:val="009C6391"/>
    <w:rsid w:val="009D04C9"/>
    <w:rsid w:val="009D3822"/>
    <w:rsid w:val="009E1F3F"/>
    <w:rsid w:val="009E2A8C"/>
    <w:rsid w:val="009E3AA1"/>
    <w:rsid w:val="009E7291"/>
    <w:rsid w:val="009F190F"/>
    <w:rsid w:val="009F1B47"/>
    <w:rsid w:val="009F3D3E"/>
    <w:rsid w:val="009F59A7"/>
    <w:rsid w:val="009F7A50"/>
    <w:rsid w:val="00A1792F"/>
    <w:rsid w:val="00A25D93"/>
    <w:rsid w:val="00A31EC9"/>
    <w:rsid w:val="00A34460"/>
    <w:rsid w:val="00A350AC"/>
    <w:rsid w:val="00A372F6"/>
    <w:rsid w:val="00A3798E"/>
    <w:rsid w:val="00A41345"/>
    <w:rsid w:val="00A46E2D"/>
    <w:rsid w:val="00A47425"/>
    <w:rsid w:val="00A51F51"/>
    <w:rsid w:val="00A5389C"/>
    <w:rsid w:val="00A54244"/>
    <w:rsid w:val="00A70A55"/>
    <w:rsid w:val="00A70CE7"/>
    <w:rsid w:val="00A732FB"/>
    <w:rsid w:val="00A74289"/>
    <w:rsid w:val="00A75E55"/>
    <w:rsid w:val="00A81865"/>
    <w:rsid w:val="00A83F96"/>
    <w:rsid w:val="00A97799"/>
    <w:rsid w:val="00AB0CFE"/>
    <w:rsid w:val="00AC26E5"/>
    <w:rsid w:val="00AC2E11"/>
    <w:rsid w:val="00AD0AE1"/>
    <w:rsid w:val="00AD1758"/>
    <w:rsid w:val="00AD1894"/>
    <w:rsid w:val="00AD3F4D"/>
    <w:rsid w:val="00AE1CC9"/>
    <w:rsid w:val="00AF070C"/>
    <w:rsid w:val="00AF4814"/>
    <w:rsid w:val="00AF57BA"/>
    <w:rsid w:val="00AF5DD0"/>
    <w:rsid w:val="00AF6EC2"/>
    <w:rsid w:val="00B040E9"/>
    <w:rsid w:val="00B05EC3"/>
    <w:rsid w:val="00B06FC0"/>
    <w:rsid w:val="00B10584"/>
    <w:rsid w:val="00B13D96"/>
    <w:rsid w:val="00B23B17"/>
    <w:rsid w:val="00B32047"/>
    <w:rsid w:val="00B343EB"/>
    <w:rsid w:val="00B34514"/>
    <w:rsid w:val="00B41E98"/>
    <w:rsid w:val="00B42A19"/>
    <w:rsid w:val="00B4683B"/>
    <w:rsid w:val="00B47AED"/>
    <w:rsid w:val="00B55B62"/>
    <w:rsid w:val="00B55BCA"/>
    <w:rsid w:val="00B611E6"/>
    <w:rsid w:val="00B81F2E"/>
    <w:rsid w:val="00B85B2A"/>
    <w:rsid w:val="00B87937"/>
    <w:rsid w:val="00B87F1E"/>
    <w:rsid w:val="00B95067"/>
    <w:rsid w:val="00B97140"/>
    <w:rsid w:val="00BA04BB"/>
    <w:rsid w:val="00BA532E"/>
    <w:rsid w:val="00BA60DC"/>
    <w:rsid w:val="00BA77BC"/>
    <w:rsid w:val="00BB1910"/>
    <w:rsid w:val="00BB1963"/>
    <w:rsid w:val="00BB3888"/>
    <w:rsid w:val="00BC3DA8"/>
    <w:rsid w:val="00BC4040"/>
    <w:rsid w:val="00BD57B3"/>
    <w:rsid w:val="00BE7093"/>
    <w:rsid w:val="00BF3437"/>
    <w:rsid w:val="00BF3A35"/>
    <w:rsid w:val="00BF3C42"/>
    <w:rsid w:val="00BF5A83"/>
    <w:rsid w:val="00BF729C"/>
    <w:rsid w:val="00C040AB"/>
    <w:rsid w:val="00C048A3"/>
    <w:rsid w:val="00C059C9"/>
    <w:rsid w:val="00C071C2"/>
    <w:rsid w:val="00C11B61"/>
    <w:rsid w:val="00C12382"/>
    <w:rsid w:val="00C162F4"/>
    <w:rsid w:val="00C21B6E"/>
    <w:rsid w:val="00C34297"/>
    <w:rsid w:val="00C40ED0"/>
    <w:rsid w:val="00C452B0"/>
    <w:rsid w:val="00C51417"/>
    <w:rsid w:val="00C570B7"/>
    <w:rsid w:val="00C66811"/>
    <w:rsid w:val="00C71F1E"/>
    <w:rsid w:val="00C74A1C"/>
    <w:rsid w:val="00C837F3"/>
    <w:rsid w:val="00C85621"/>
    <w:rsid w:val="00C86A99"/>
    <w:rsid w:val="00C90849"/>
    <w:rsid w:val="00C90B80"/>
    <w:rsid w:val="00C94F65"/>
    <w:rsid w:val="00CA13D5"/>
    <w:rsid w:val="00CA2110"/>
    <w:rsid w:val="00CA3470"/>
    <w:rsid w:val="00CA3E19"/>
    <w:rsid w:val="00CA5F64"/>
    <w:rsid w:val="00CA70EB"/>
    <w:rsid w:val="00CC2446"/>
    <w:rsid w:val="00CC56D4"/>
    <w:rsid w:val="00CC7F3C"/>
    <w:rsid w:val="00CD6EC7"/>
    <w:rsid w:val="00CE2F62"/>
    <w:rsid w:val="00CE3205"/>
    <w:rsid w:val="00CF1032"/>
    <w:rsid w:val="00CF160D"/>
    <w:rsid w:val="00CF1907"/>
    <w:rsid w:val="00CF55AD"/>
    <w:rsid w:val="00CF75E4"/>
    <w:rsid w:val="00D00267"/>
    <w:rsid w:val="00D00A7A"/>
    <w:rsid w:val="00D04AB7"/>
    <w:rsid w:val="00D05757"/>
    <w:rsid w:val="00D10F51"/>
    <w:rsid w:val="00D176D0"/>
    <w:rsid w:val="00D20168"/>
    <w:rsid w:val="00D25151"/>
    <w:rsid w:val="00D2632C"/>
    <w:rsid w:val="00D2637C"/>
    <w:rsid w:val="00D3098E"/>
    <w:rsid w:val="00D327AD"/>
    <w:rsid w:val="00D354E1"/>
    <w:rsid w:val="00D372B3"/>
    <w:rsid w:val="00D427B3"/>
    <w:rsid w:val="00D439D8"/>
    <w:rsid w:val="00D50F34"/>
    <w:rsid w:val="00D519FA"/>
    <w:rsid w:val="00D570E7"/>
    <w:rsid w:val="00D72B7C"/>
    <w:rsid w:val="00D7445D"/>
    <w:rsid w:val="00D76E54"/>
    <w:rsid w:val="00D7705D"/>
    <w:rsid w:val="00D7749A"/>
    <w:rsid w:val="00D777F5"/>
    <w:rsid w:val="00D77A83"/>
    <w:rsid w:val="00D825AA"/>
    <w:rsid w:val="00D85FC2"/>
    <w:rsid w:val="00D91B99"/>
    <w:rsid w:val="00D92677"/>
    <w:rsid w:val="00D952D5"/>
    <w:rsid w:val="00D96A7F"/>
    <w:rsid w:val="00DA75BB"/>
    <w:rsid w:val="00DB5248"/>
    <w:rsid w:val="00DB76D6"/>
    <w:rsid w:val="00DC5FE0"/>
    <w:rsid w:val="00DD0741"/>
    <w:rsid w:val="00DD68D8"/>
    <w:rsid w:val="00DE28F4"/>
    <w:rsid w:val="00DE56EE"/>
    <w:rsid w:val="00DF0E45"/>
    <w:rsid w:val="00E01987"/>
    <w:rsid w:val="00E019E2"/>
    <w:rsid w:val="00E04028"/>
    <w:rsid w:val="00E06B09"/>
    <w:rsid w:val="00E108DA"/>
    <w:rsid w:val="00E10E5E"/>
    <w:rsid w:val="00E204C9"/>
    <w:rsid w:val="00E211C5"/>
    <w:rsid w:val="00E218CE"/>
    <w:rsid w:val="00E235C1"/>
    <w:rsid w:val="00E23BF6"/>
    <w:rsid w:val="00E265E9"/>
    <w:rsid w:val="00E279C1"/>
    <w:rsid w:val="00E371F6"/>
    <w:rsid w:val="00E45BED"/>
    <w:rsid w:val="00E47286"/>
    <w:rsid w:val="00E62A03"/>
    <w:rsid w:val="00E62CB6"/>
    <w:rsid w:val="00E63E7B"/>
    <w:rsid w:val="00E65A61"/>
    <w:rsid w:val="00E67800"/>
    <w:rsid w:val="00E74CF3"/>
    <w:rsid w:val="00E75236"/>
    <w:rsid w:val="00E77C19"/>
    <w:rsid w:val="00E77EB7"/>
    <w:rsid w:val="00E84ABC"/>
    <w:rsid w:val="00E87086"/>
    <w:rsid w:val="00E94B2E"/>
    <w:rsid w:val="00E968C1"/>
    <w:rsid w:val="00E9694C"/>
    <w:rsid w:val="00E97167"/>
    <w:rsid w:val="00EA0368"/>
    <w:rsid w:val="00EA2D0D"/>
    <w:rsid w:val="00EA3AF7"/>
    <w:rsid w:val="00EB3455"/>
    <w:rsid w:val="00EB5C55"/>
    <w:rsid w:val="00EC0418"/>
    <w:rsid w:val="00EC0CCC"/>
    <w:rsid w:val="00EC2307"/>
    <w:rsid w:val="00EC6DCC"/>
    <w:rsid w:val="00ED2BD8"/>
    <w:rsid w:val="00ED438F"/>
    <w:rsid w:val="00ED5ABB"/>
    <w:rsid w:val="00ED5B1D"/>
    <w:rsid w:val="00EE004C"/>
    <w:rsid w:val="00EE666C"/>
    <w:rsid w:val="00F0083D"/>
    <w:rsid w:val="00F00B22"/>
    <w:rsid w:val="00F02E38"/>
    <w:rsid w:val="00F02F99"/>
    <w:rsid w:val="00F078C9"/>
    <w:rsid w:val="00F11AA2"/>
    <w:rsid w:val="00F1283B"/>
    <w:rsid w:val="00F133CA"/>
    <w:rsid w:val="00F15C04"/>
    <w:rsid w:val="00F17BA4"/>
    <w:rsid w:val="00F20853"/>
    <w:rsid w:val="00F264A3"/>
    <w:rsid w:val="00F2776D"/>
    <w:rsid w:val="00F35A87"/>
    <w:rsid w:val="00F36C7F"/>
    <w:rsid w:val="00F420B1"/>
    <w:rsid w:val="00F432DF"/>
    <w:rsid w:val="00F467AC"/>
    <w:rsid w:val="00F50B8B"/>
    <w:rsid w:val="00F55589"/>
    <w:rsid w:val="00F57822"/>
    <w:rsid w:val="00F72046"/>
    <w:rsid w:val="00F73112"/>
    <w:rsid w:val="00F77E4F"/>
    <w:rsid w:val="00F81FDD"/>
    <w:rsid w:val="00F8323C"/>
    <w:rsid w:val="00F87A48"/>
    <w:rsid w:val="00F9414E"/>
    <w:rsid w:val="00FA0620"/>
    <w:rsid w:val="00FA080A"/>
    <w:rsid w:val="00FA423F"/>
    <w:rsid w:val="00FA4A27"/>
    <w:rsid w:val="00FB216D"/>
    <w:rsid w:val="00FB6FF1"/>
    <w:rsid w:val="00FC3D3E"/>
    <w:rsid w:val="00FD15D6"/>
    <w:rsid w:val="00FD2A00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405E"/>
  <w15:docId w15:val="{2BB76EF2-8728-41AC-84D6-25E08330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16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Olga</cp:lastModifiedBy>
  <cp:revision>20</cp:revision>
  <dcterms:created xsi:type="dcterms:W3CDTF">2023-04-30T13:45:00Z</dcterms:created>
  <dcterms:modified xsi:type="dcterms:W3CDTF">2023-05-15T10:09:00Z</dcterms:modified>
</cp:coreProperties>
</file>